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object w:dxaOrig="648" w:dyaOrig="890">
          <v:rect xmlns:o="urn:schemas-microsoft-com:office:office" xmlns:v="urn:schemas-microsoft-com:vml" id="rectole0000000000" style="width:32.400000pt;height:44.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Україна</w:t>
      </w:r>
    </w:p>
    <w:p>
      <w:pPr>
        <w:spacing w:before="0" w:after="0" w:line="240"/>
        <w:ind w:right="0" w:left="0" w:firstLine="0"/>
        <w:jc w:val="center"/>
        <w:rPr>
          <w:rFonts w:ascii="Times New Roman" w:hAnsi="Times New Roman" w:cs="Times New Roman" w:eastAsia="Times New Roman"/>
          <w:b/>
          <w:color w:val="000000"/>
          <w:spacing w:val="20"/>
          <w:position w:val="0"/>
          <w:sz w:val="28"/>
          <w:shd w:fill="auto" w:val="clear"/>
        </w:rPr>
      </w:pPr>
      <w:r>
        <w:rPr>
          <w:rFonts w:ascii="Times New Roman" w:hAnsi="Times New Roman" w:cs="Times New Roman" w:eastAsia="Times New Roman"/>
          <w:b/>
          <w:color w:val="000000"/>
          <w:spacing w:val="20"/>
          <w:position w:val="0"/>
          <w:sz w:val="28"/>
          <w:shd w:fill="auto" w:val="clear"/>
        </w:rPr>
        <w:t xml:space="preserve">ГОЛОПРИСТАНСЬКА МІСЬКА ВІЙСЬКОВА АДМІНІСТРАЦІЯ СКАДОВСЬКОГО РАЙОНУ ХЕРСОНСЬКОЇ ОБЛАСТІ</w:t>
      </w:r>
    </w:p>
    <w:p>
      <w:pPr>
        <w:spacing w:before="0" w:after="0" w:line="240"/>
        <w:ind w:right="0" w:left="0" w:firstLine="0"/>
        <w:jc w:val="center"/>
        <w:rPr>
          <w:rFonts w:ascii="Times New Roman" w:hAnsi="Times New Roman" w:cs="Times New Roman" w:eastAsia="Times New Roman"/>
          <w:b/>
          <w:caps w:val="true"/>
          <w:color w:val="auto"/>
          <w:spacing w:val="10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100"/>
          <w:position w:val="0"/>
          <w:sz w:val="28"/>
          <w:shd w:fill="auto" w:val="clear"/>
        </w:rPr>
      </w:pPr>
      <w:r>
        <w:rPr>
          <w:rFonts w:ascii="Times New Roman" w:hAnsi="Times New Roman" w:cs="Times New Roman" w:eastAsia="Times New Roman"/>
          <w:b/>
          <w:caps w:val="true"/>
          <w:color w:val="auto"/>
          <w:spacing w:val="100"/>
          <w:position w:val="0"/>
          <w:sz w:val="28"/>
          <w:shd w:fill="auto" w:val="clear"/>
        </w:rPr>
        <w:t xml:space="preserve">НАКАЗ</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20.12.2022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7</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000000"/>
          <w:spacing w:val="10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Про бюджет Голопристанської </w:t>
      </w:r>
    </w:p>
    <w:p>
      <w:pPr>
        <w:tabs>
          <w:tab w:val="left" w:pos="90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міської територіальної громади </w:t>
      </w:r>
    </w:p>
    <w:p>
      <w:pPr>
        <w:tabs>
          <w:tab w:val="left" w:pos="90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2023 рік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900"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Враховуючи  матеріали, надані фінансовим управлінням виконавчого комітету міської ради, керуючись Бюджетним кодексом України (зі змінами), Законами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Державний бюджет України на 2023 рік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 правовий режим воєнного стану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зі змінами),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Указами Президента України </w:t>
      </w:r>
      <w:r>
        <w:rPr>
          <w:rFonts w:ascii="Times New Roman" w:hAnsi="Times New Roman" w:cs="Times New Roman" w:eastAsia="Times New Roman"/>
          <w:color w:val="000000"/>
          <w:spacing w:val="0"/>
          <w:position w:val="0"/>
          <w:sz w:val="28"/>
          <w:shd w:fill="auto" w:val="clear"/>
        </w:rPr>
        <w:t xml:space="preserve">від 24 лютого 2022 року №</w:t>
      </w:r>
      <w:r>
        <w:rPr>
          <w:rFonts w:ascii="Times New Roman" w:hAnsi="Times New Roman" w:cs="Times New Roman" w:eastAsia="Times New Roman"/>
          <w:color w:val="000000"/>
          <w:spacing w:val="0"/>
          <w:position w:val="0"/>
          <w:sz w:val="28"/>
          <w:shd w:fill="auto" w:val="clear"/>
        </w:rPr>
        <w:t xml:space="preserve"> 64/2022 «</w:t>
      </w:r>
      <w:r>
        <w:rPr>
          <w:rFonts w:ascii="Times New Roman" w:hAnsi="Times New Roman" w:cs="Times New Roman" w:eastAsia="Times New Roman"/>
          <w:color w:val="000000"/>
          <w:spacing w:val="0"/>
          <w:position w:val="0"/>
          <w:sz w:val="28"/>
          <w:shd w:fill="auto" w:val="clear"/>
        </w:rPr>
        <w:t xml:space="preserve">Про введення воєнного стану в Україні</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зі змінами),  від 24 лютого 2022 року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68/2022 «</w:t>
      </w:r>
      <w:r>
        <w:rPr>
          <w:rFonts w:ascii="Times New Roman" w:hAnsi="Times New Roman" w:cs="Times New Roman" w:eastAsia="Times New Roman"/>
          <w:color w:val="auto"/>
          <w:spacing w:val="0"/>
          <w:position w:val="0"/>
          <w:sz w:val="28"/>
          <w:shd w:fill="auto" w:val="clear"/>
        </w:rPr>
        <w:t xml:space="preserve">Про утворення військових адміністрацій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 09 листопада 2022 року № 760/2022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утворення військових адміністрацій населених пунктів у Херсонській області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розпорядженням Президента України від 11 листопада 2022 року № 293/2022-рп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призначення С.Лінник начальником Голопристанської міської військової адміністрації Скадовського району Херсонської області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постановою Кабінету Міністрів України від 11 березня 2022 року №</w:t>
      </w:r>
      <w:r>
        <w:rPr>
          <w:rFonts w:ascii="Times New Roman" w:hAnsi="Times New Roman" w:cs="Times New Roman" w:eastAsia="Times New Roman"/>
          <w:color w:val="auto"/>
          <w:spacing w:val="0"/>
          <w:position w:val="0"/>
          <w:sz w:val="28"/>
          <w:shd w:fill="auto" w:val="clear"/>
        </w:rPr>
        <w:t xml:space="preserve"> 252 «</w:t>
      </w:r>
      <w:r>
        <w:rPr>
          <w:rFonts w:ascii="Times New Roman" w:hAnsi="Times New Roman" w:cs="Times New Roman" w:eastAsia="Times New Roman"/>
          <w:color w:val="auto"/>
          <w:spacing w:val="0"/>
          <w:position w:val="0"/>
          <w:sz w:val="28"/>
          <w:shd w:fill="auto" w:val="clear"/>
        </w:rPr>
        <w:t xml:space="preserve">Деякі питання формування та виконання місцевих бюджетів у період воєнного стану</w:t>
      </w:r>
      <w:r>
        <w:rPr>
          <w:rFonts w:ascii="Times New Roman" w:hAnsi="Times New Roman" w:cs="Times New Roman" w:eastAsia="Times New Roman"/>
          <w:color w:val="auto"/>
          <w:spacing w:val="0"/>
          <w:position w:val="0"/>
          <w:sz w:val="28"/>
          <w:shd w:fill="auto" w:val="clear"/>
        </w:rPr>
        <w:t xml:space="preserve">»:</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НАКАЗУЮ: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Визначити на 2023 рік:</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доходи бюджету міської територіальної громади у сумі                    205000000,00 гривень, у тому числі:  доходи загального фонду бюджету – 204200000,00 гривень та доходи спеціального фонду бюджету –                          800000,00 гривень згідно з додатком 1 до цього наказу;</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видатки бюджету міської територіальної громади у сумі                     205000000,00 гривень, у тому числі: видатки загального фонду бюджету – 203350000,00 гривень та видатки спеціального фонду бюджету –                     1650000,00 гривень;</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профіцит за загальним фондом бюджету міської територіальної громади у сумі 850000,00 гривень згідно з додатком 2 до цього наказу;</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дефіцит за спеціальним фондом бюджету міської територіальної громади у сумі 850000,00  гривень згідно з додатком 2 до цього наказу;</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оборотний залишок бюджетних коштів бюджету міської територіальної громади у розмірі 300000,00 гривень, що становить 0,1 відсотка  видатків загального фонду бюджету міської територіальної громади, визначених цим пунктом;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резервний фонд бюджету міської територіальної громади у розмірі 4607100,00 гривень, що становить 2,2 відсотка видатків загального фонду бюджету міської територіальної громади, визначених цим пунктом.</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Затвердити бюджетні призначення головним розпорядникам коштів бюджету міської територіальної громади на 2023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рік у розрізі відповідальних виконавців за бюджетними програмами згідно з додатком 3 до цього наказу.</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Затвердити на 2023 рік міжбюджетні трансферти згідно з додатком 5 до цього наказу.</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Затвердити розподіл витрат бюджету міської територіальної громади на реалізацію місцевих/регіональних програм у сумі 34060000,00 гривень згідно з додатком 7 до цього наказу.  </w:t>
      </w:r>
    </w:p>
    <w:p>
      <w:pPr>
        <w:spacing w:before="0" w:after="0" w:line="240"/>
        <w:ind w:right="0"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Установити, що у загальному фонді бюджету міської територіальної громади на 2023 рік до доходів загального фонду бюджету міської територіальної громади належать доходи, визначені статтею 64 Бюджетного кодексу України, та трансферти, визначені статтями 93, 97, 101 Бюджетного кодексу України</w:t>
      </w:r>
      <w:r>
        <w:rPr>
          <w:rFonts w:ascii="Times New Roman" w:hAnsi="Times New Roman" w:cs="Times New Roman" w:eastAsia="Times New Roman"/>
          <w:color w:val="000000"/>
          <w:spacing w:val="0"/>
          <w:position w:val="0"/>
          <w:sz w:val="28"/>
          <w:shd w:fill="auto" w:val="clear"/>
        </w:rPr>
        <w:t xml:space="preserve">, а також трансферти з обласного бюджету Херсонської області.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Установити, що у 2023 році кошти, отримані до спеціального фонду бюджету міської територіальної громади згідно зі статтями 69</w:t>
      </w:r>
      <w:r>
        <w:rPr>
          <w:rFonts w:ascii="Times New Roman" w:hAnsi="Times New Roman" w:cs="Times New Roman" w:eastAsia="Times New Roman"/>
          <w:color w:val="auto"/>
          <w:spacing w:val="0"/>
          <w:position w:val="0"/>
          <w:sz w:val="28"/>
          <w:shd w:fill="auto" w:val="clear"/>
        </w:rPr>
        <w:t xml:space="preserve">¹, 71 </w:t>
      </w:r>
      <w:r>
        <w:rPr>
          <w:rFonts w:ascii="Times New Roman" w:hAnsi="Times New Roman" w:cs="Times New Roman" w:eastAsia="Times New Roman"/>
          <w:color w:val="auto"/>
          <w:spacing w:val="0"/>
          <w:position w:val="0"/>
          <w:sz w:val="28"/>
          <w:shd w:fill="auto" w:val="clear"/>
        </w:rPr>
        <w:t xml:space="preserve">Бюджетного кодексу України спрямовуються на реалізацію програм і заходів відповідно до статті 91 Бюджетного кодексу України.</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Визначити на 2023 рік відповідно до статті 55 Бюджетного кодексу України захищеними видатками бюджету міської територіальної громади видатки загального фонду на: </w:t>
      </w:r>
    </w:p>
    <w:p>
      <w:pPr>
        <w:tabs>
          <w:tab w:val="left" w:pos="900"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оплату праці працівників бюджетних установ; </w:t>
      </w:r>
    </w:p>
    <w:p>
      <w:pPr>
        <w:tabs>
          <w:tab w:val="left" w:pos="900"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нарахування на заробітну плату;</w:t>
      </w:r>
    </w:p>
    <w:p>
      <w:pPr>
        <w:tabs>
          <w:tab w:val="left" w:pos="900"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придбання медикаментів та перев’язувальних матеріалів;</w:t>
      </w:r>
    </w:p>
    <w:p>
      <w:pPr>
        <w:tabs>
          <w:tab w:val="left" w:pos="540" w:leader="none"/>
        </w:tabs>
        <w:spacing w:before="0" w:after="0" w:line="240"/>
        <w:ind w:right="0" w:left="360" w:firstLine="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забезпечення продуктами харчування;</w:t>
      </w:r>
    </w:p>
    <w:p>
      <w:pPr>
        <w:tabs>
          <w:tab w:val="left" w:pos="540" w:leader="none"/>
        </w:tabs>
        <w:spacing w:before="0" w:after="0" w:line="240"/>
        <w:ind w:right="0" w:left="360" w:firstLine="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оплату комунальних послуг та енергоносіїв;</w:t>
      </w:r>
    </w:p>
    <w:p>
      <w:pPr>
        <w:tabs>
          <w:tab w:val="left" w:pos="540" w:leader="none"/>
        </w:tabs>
        <w:spacing w:before="0" w:after="0" w:line="240"/>
        <w:ind w:right="0" w:left="360" w:firstLine="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соціальне забезпечення;</w:t>
      </w:r>
    </w:p>
    <w:p>
      <w:pPr>
        <w:tabs>
          <w:tab w:val="left" w:pos="540" w:leader="none"/>
        </w:tabs>
        <w:spacing w:before="0" w:after="0" w:line="240"/>
        <w:ind w:right="0" w:left="360" w:firstLine="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поточні трансферти місцевим бюджетам.</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Відповідно до статей 43, 73 Бюджетного кодексу України надати право фінансовому управлінню виконавчого комітету міської ради отримувати у порядку, визначеному Кабінетом Міністрів України, позики на покриття тимчасових касових розривів бюджету міської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Забезпечити головними розпорядниками коштів бюджету міської територіальної громади виконання норм Бюджетного кодексу України стосовно:</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затвердження паспортів бюджетних програм протягом 45 днів з дня набрання чинності цього рішення;</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здійснення управління бюджетними коштами у межах встановлених їм бюджетних повноважень та оцінки ефективності бюджетних програм, </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забезпечення доступності інформації про бюджет відповідно до законодавства, а саме: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2024 року; оприлюднення паспортів бюджетних програм у триденний строк з дня затвердження таких документів;</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взяття бюджетних зобов’язань та здійснення витрат бюджету міської територіальної громади;</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утримання чисельності працівників та здійснення фактичних видатків на заробітну плату лише в межах фонду заробітної плати, затвердженого для бюджетних установ у кошторисах на поточний бюджетний рік. </w:t>
      </w:r>
    </w:p>
    <w:p>
      <w:pPr>
        <w:tabs>
          <w:tab w:val="left" w:pos="90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Установити, що внесення змін до бюджетних призначень (їх передача чи перерозподіл) здійснюється за умов та у порядку, визначеними статтею 23 Бюджетного кодексу України.</w:t>
      </w:r>
    </w:p>
    <w:p>
      <w:pPr>
        <w:tabs>
          <w:tab w:val="left" w:pos="900" w:leader="none"/>
          <w:tab w:val="left" w:pos="1080" w:leader="none"/>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Наказ набирає чинності з 01 січня 2023 року.</w:t>
      </w:r>
    </w:p>
    <w:p>
      <w:pPr>
        <w:spacing w:before="0" w:after="160" w:line="254"/>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Додатки 4 та 6 до наказу не складаються у зв’язку з відсутністю, додатки 1, 2, 3, 5 та 7 до цього наказу є його невід’ємною частиною. </w:t>
      </w:r>
    </w:p>
    <w:p>
      <w:pPr>
        <w:spacing w:before="0" w:after="160" w:line="254"/>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Фінансовому управлінню виконавчого комітету міської ради забезпечити оприлюднення цього наказу в десятиденний строк з дня його прийняття відповідно до частини четвертої статті 28 Бюджетного кодексу України.</w:t>
      </w:r>
    </w:p>
    <w:p>
      <w:pPr>
        <w:spacing w:before="0" w:after="160" w:line="254"/>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Контроль за виконанням цього наказу покласти на начальника фінансового управління виконавчого комітету міської ради Цуркан Н.В.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Голопристанської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міської  військової адміністрації                                 Світлана ЛІННИК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p>
    <w:p>
      <w:pPr>
        <w:spacing w:before="0" w:after="0" w:line="240"/>
        <w:ind w:right="57" w:left="0" w:firstLine="0"/>
        <w:jc w:val="both"/>
        <w:rPr>
          <w:rFonts w:ascii="Times New Roman" w:hAnsi="Times New Roman" w:cs="Times New Roman" w:eastAsia="Times New Roman"/>
          <w:color w:val="000000"/>
          <w:spacing w:val="0"/>
          <w:position w:val="0"/>
          <w:sz w:val="28"/>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